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7C462D" w:rsidR="00C418D6" w:rsidP="00E83835" w:rsidRDefault="00FC0C3D" w14:paraId="59209067" w14:textId="6FC53474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KB </w:t>
      </w:r>
      <w:r w:rsidRPr="00C418D6" w:rsidR="00C418D6">
        <w:rPr>
          <w:rFonts w:ascii="Arial Black" w:hAnsi="Arial Black"/>
          <w:color w:val="E9041E"/>
          <w:sz w:val="50"/>
          <w:szCs w:val="50"/>
        </w:rPr>
        <w:t xml:space="preserve">Mobilní banku má v kapse už milion </w:t>
      </w:r>
      <w:r w:rsidR="00FC1C59">
        <w:rPr>
          <w:rFonts w:ascii="Arial Black" w:hAnsi="Arial Black"/>
          <w:color w:val="E9041E"/>
          <w:sz w:val="50"/>
          <w:szCs w:val="50"/>
        </w:rPr>
        <w:t>klientů</w:t>
      </w:r>
      <w:r w:rsidRPr="00C418D6" w:rsidR="00C418D6">
        <w:rPr>
          <w:rFonts w:ascii="Arial Black" w:hAnsi="Arial Black"/>
          <w:color w:val="E9041E"/>
          <w:sz w:val="50"/>
          <w:szCs w:val="50"/>
        </w:rPr>
        <w:t>. Komerční banka za to děkuje zvýhodněnou nabídkou</w:t>
      </w:r>
    </w:p>
    <w:p w:rsidRPr="00766C5E" w:rsidR="00283C19" w:rsidP="00766C5E" w:rsidRDefault="00895A4F" w14:paraId="0F4EFECC" w14:textId="5A7ADC7C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4" style="position:absolute;margin-left:-39.05pt;margin-top:-.15pt;width:169.85pt;height:15.7pt;z-index:251662336;mso-height-relative:margin" coordsize="21570,1993" o:spid="_x0000_s1026" w14:anchorId="15AC39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style="position:absolute;width:21570;height:64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/>
                <v:rect id="Obdélník 2" style="position:absolute;top:666;width:21570;height:642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/>
                <v:rect id="Obdélník 3" style="position:absolute;top:1352;width:21570;height:641;visibility:visible;mso-wrap-style:square;v-text-anchor:middle" o:spid="_x0000_s1029" fillcolor="#e9041e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8331A3">
        <w:rPr>
          <w:rFonts w:ascii="Calibri" w:hAnsi="Calibri" w:cs="Calibri"/>
          <w:sz w:val="30"/>
          <w:szCs w:val="30"/>
        </w:rPr>
        <w:t>11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10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2021</w:t>
      </w:r>
    </w:p>
    <w:p w:rsidRPr="00B7430F" w:rsidR="00B7430F" w:rsidP="643B3B5D" w:rsidRDefault="00C651B5" w14:paraId="00E73E3B" w14:textId="53E4CC54">
      <w:pPr>
        <w:spacing w:after="0" w:line="276" w:lineRule="auto"/>
        <w:jc w:val="both"/>
        <w:rPr>
          <w:rFonts w:cs="Calibri" w:cstheme="minorAscii"/>
          <w:b w:val="1"/>
          <w:bCs w:val="1"/>
          <w:sz w:val="24"/>
          <w:szCs w:val="24"/>
        </w:rPr>
      </w:pPr>
      <w:r w:rsidRPr="643B3B5D" w:rsidR="00C651B5">
        <w:rPr>
          <w:rFonts w:cs="Calibri" w:cstheme="minorAscii"/>
          <w:b w:val="1"/>
          <w:bCs w:val="1"/>
          <w:sz w:val="24"/>
          <w:szCs w:val="24"/>
        </w:rPr>
        <w:t xml:space="preserve">KB 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>Mobilní banka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 xml:space="preserve"> překonala milník jednoho milionu klientů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 xml:space="preserve">, kteří 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 xml:space="preserve">jejím prostřednictvím 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>spravují své finance. 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>Při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> této příležitosti spouštíme speciální akci</w:t>
      </w:r>
      <w:r w:rsidRPr="643B3B5D" w:rsidR="00C651B5">
        <w:rPr>
          <w:rFonts w:cs="Calibri" w:cstheme="minorAscii"/>
          <w:b w:val="1"/>
          <w:bCs w:val="1"/>
          <w:sz w:val="24"/>
          <w:szCs w:val="24"/>
        </w:rPr>
        <w:t xml:space="preserve"> –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643B3B5D" w:rsidR="00C651B5">
        <w:rPr>
          <w:rFonts w:cs="Calibri" w:cstheme="minorAscii"/>
          <w:b w:val="1"/>
          <w:bCs w:val="1"/>
          <w:sz w:val="24"/>
          <w:szCs w:val="24"/>
        </w:rPr>
        <w:t>po dobu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 xml:space="preserve"> milionu vteřin, tedy přibližně 11,5 dne, </w:t>
      </w:r>
      <w:r w:rsidRPr="643B3B5D" w:rsidR="00C651B5">
        <w:rPr>
          <w:rFonts w:cs="Calibri" w:cstheme="minorAscii"/>
          <w:b w:val="1"/>
          <w:bCs w:val="1"/>
          <w:sz w:val="24"/>
          <w:szCs w:val="24"/>
        </w:rPr>
        <w:t>nabízíme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 xml:space="preserve"> stávajícím i novým klientům, a to </w:t>
      </w:r>
      <w:r w:rsidRPr="643B3B5D" w:rsidR="00F901F4">
        <w:rPr>
          <w:rFonts w:cs="Calibri" w:cstheme="minorAscii"/>
          <w:b w:val="1"/>
          <w:bCs w:val="1"/>
          <w:sz w:val="24"/>
          <w:szCs w:val="24"/>
        </w:rPr>
        <w:t>včetně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 xml:space="preserve"> firemní</w:t>
      </w:r>
      <w:r w:rsidRPr="643B3B5D" w:rsidR="00F901F4">
        <w:rPr>
          <w:rFonts w:cs="Calibri" w:cstheme="minorAscii"/>
          <w:b w:val="1"/>
          <w:bCs w:val="1"/>
          <w:sz w:val="24"/>
          <w:szCs w:val="24"/>
        </w:rPr>
        <w:t>ch</w:t>
      </w:r>
      <w:bookmarkStart w:name="_GoBack" w:id="0"/>
      <w:bookmarkEnd w:id="0"/>
      <w:r w:rsidRPr="643B3B5D" w:rsidR="00B7430F">
        <w:rPr>
          <w:rFonts w:cs="Calibri" w:cstheme="minorAscii"/>
          <w:b w:val="1"/>
          <w:bCs w:val="1"/>
          <w:sz w:val="24"/>
          <w:szCs w:val="24"/>
        </w:rPr>
        <w:t xml:space="preserve">, vybrané produkty a služby za zvýhodněných podmínek. </w:t>
      </w:r>
      <w:r w:rsidRPr="643B3B5D" w:rsidR="00C651B5">
        <w:rPr>
          <w:rFonts w:cs="Calibri" w:cstheme="minorAscii"/>
          <w:b w:val="1"/>
          <w:bCs w:val="1"/>
          <w:sz w:val="24"/>
          <w:szCs w:val="24"/>
        </w:rPr>
        <w:t>Akce</w:t>
      </w:r>
      <w:r w:rsidRPr="643B3B5D" w:rsidR="00B7430F">
        <w:rPr>
          <w:rFonts w:cs="Calibri" w:cstheme="minorAscii"/>
          <w:b w:val="1"/>
          <w:bCs w:val="1"/>
          <w:sz w:val="24"/>
          <w:szCs w:val="24"/>
        </w:rPr>
        <w:t xml:space="preserve"> platí od 11. 10. do 22. 10. 2021.</w:t>
      </w:r>
    </w:p>
    <w:p w:rsidR="643B3B5D" w:rsidP="643B3B5D" w:rsidRDefault="643B3B5D" w14:paraId="48213AE0" w14:textId="175BECCB">
      <w:pPr>
        <w:pStyle w:val="Normln"/>
        <w:spacing w:after="0" w:line="276" w:lineRule="auto"/>
        <w:jc w:val="both"/>
        <w:rPr>
          <w:rFonts w:cs="Calibri" w:cstheme="minorAscii"/>
          <w:b w:val="1"/>
          <w:bCs w:val="1"/>
          <w:sz w:val="24"/>
          <w:szCs w:val="24"/>
        </w:rPr>
      </w:pPr>
    </w:p>
    <w:p w:rsidR="00C651B5" w:rsidP="00B7430F" w:rsidRDefault="00B7430F" w14:paraId="012DBBE0" w14:textId="77777777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i/>
          <w:iCs/>
          <w:color w:val="000000"/>
          <w:sz w:val="20"/>
          <w:szCs w:val="20"/>
          <w:lang w:eastAsia="cs-CZ"/>
        </w:rPr>
      </w:pPr>
      <w:r>
        <w:rPr>
          <w:rFonts w:ascii="Segoe UI" w:hAnsi="Segoe UI" w:cs="Segoe UI"/>
          <w:color w:val="000000"/>
          <w:sz w:val="20"/>
          <w:szCs w:val="20"/>
          <w:lang w:eastAsia="cs-CZ"/>
        </w:rPr>
        <w:t xml:space="preserve">Slavíme my, dárky ale dostanou naši klienti. Po dobu milionu vteřin, zhruba 11,5 dne, nabídneme své oblíbené produkty a služby za zvýhodněnou cenu. </w:t>
      </w:r>
      <w:r>
        <w:rPr>
          <w:rFonts w:ascii="Segoe UI" w:hAnsi="Segoe UI" w:cs="Segoe UI"/>
          <w:i/>
          <w:iCs/>
          <w:color w:val="000000"/>
          <w:sz w:val="20"/>
          <w:szCs w:val="20"/>
          <w:lang w:eastAsia="cs-CZ"/>
        </w:rPr>
        <w:t xml:space="preserve">„Všichni naši stávající i potenciální klienti se mohou těšit například na vlastní design platební karty nebo půjčky bez jednorázového poplatku,“ </w:t>
      </w:r>
      <w:r>
        <w:rPr>
          <w:rFonts w:ascii="Segoe UI" w:hAnsi="Segoe UI" w:cs="Segoe UI"/>
          <w:color w:val="000000"/>
          <w:sz w:val="20"/>
          <w:szCs w:val="20"/>
          <w:lang w:eastAsia="cs-CZ"/>
        </w:rPr>
        <w:t>vyjmenovává Jan Kubálek</w:t>
      </w:r>
      <w:r>
        <w:rPr>
          <w:rFonts w:ascii="Segoe UI" w:hAnsi="Segoe UI" w:cs="Segoe UI"/>
          <w:i/>
          <w:iCs/>
          <w:color w:val="000000"/>
          <w:sz w:val="20"/>
          <w:szCs w:val="20"/>
          <w:lang w:eastAsia="cs-CZ"/>
        </w:rPr>
        <w:t>.</w:t>
      </w:r>
    </w:p>
    <w:p w:rsidR="00B7430F" w:rsidP="00B7430F" w:rsidRDefault="00B7430F" w14:paraId="1874CD1B" w14:textId="528D3E1D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0"/>
          <w:szCs w:val="20"/>
          <w:lang w:eastAsia="cs-CZ"/>
        </w:rPr>
      </w:pPr>
      <w:r>
        <w:rPr>
          <w:rFonts w:ascii="Segoe UI" w:hAnsi="Segoe UI" w:cs="Segoe UI"/>
          <w:color w:val="000000"/>
          <w:sz w:val="20"/>
          <w:szCs w:val="20"/>
          <w:lang w:eastAsia="cs-CZ"/>
        </w:rPr>
        <w:t>Bez poplatku za vyhodnocení žádosti si bude možné sjednat Osobní i Optimální půjčku a nula korun za vstupní poplatek klienti zaplatí též v případě, že se rozhodnou začít s naší pomocí investovat do udržitelných fondů.</w:t>
      </w:r>
    </w:p>
    <w:p w:rsidR="00B7430F" w:rsidP="00B7430F" w:rsidRDefault="00B7430F" w14:paraId="53ED38BC" w14:textId="0CA31D1B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0"/>
          <w:szCs w:val="20"/>
          <w:lang w:eastAsia="cs-CZ"/>
        </w:rPr>
      </w:pPr>
      <w:r>
        <w:rPr>
          <w:rFonts w:ascii="Segoe UI" w:hAnsi="Segoe UI" w:cs="Segoe UI"/>
          <w:color w:val="000000"/>
          <w:sz w:val="20"/>
          <w:szCs w:val="20"/>
          <w:lang w:eastAsia="cs-CZ"/>
        </w:rPr>
        <w:t xml:space="preserve">Ušetřit na poplatcích mohou dále jak stávající, tak noví klienti u podnikatelského Profi úvěru, pokud podají žádost v době bonusové akce a </w:t>
      </w:r>
      <w:r w:rsidR="00B915F9">
        <w:rPr>
          <w:rFonts w:ascii="Segoe UI" w:hAnsi="Segoe UI" w:cs="Segoe UI"/>
          <w:color w:val="000000"/>
          <w:sz w:val="20"/>
          <w:szCs w:val="20"/>
          <w:lang w:eastAsia="cs-CZ"/>
        </w:rPr>
        <w:t xml:space="preserve">současně </w:t>
      </w:r>
      <w:r>
        <w:rPr>
          <w:rFonts w:ascii="Segoe UI" w:hAnsi="Segoe UI" w:cs="Segoe UI"/>
          <w:color w:val="000000"/>
          <w:sz w:val="20"/>
          <w:szCs w:val="20"/>
          <w:lang w:eastAsia="cs-CZ"/>
        </w:rPr>
        <w:t>smlouvu podepíší nejpozději do 31.</w:t>
      </w:r>
      <w:r w:rsidR="00E82296">
        <w:rPr>
          <w:rFonts w:ascii="Segoe UI" w:hAnsi="Segoe UI" w:cs="Segoe UI"/>
          <w:color w:val="000000"/>
          <w:sz w:val="20"/>
          <w:szCs w:val="20"/>
          <w:lang w:eastAsia="cs-CZ"/>
        </w:rPr>
        <w:t xml:space="preserve"> </w:t>
      </w:r>
      <w:r w:rsidR="00B915F9">
        <w:rPr>
          <w:rFonts w:ascii="Segoe UI" w:hAnsi="Segoe UI" w:cs="Segoe UI"/>
          <w:color w:val="000000"/>
          <w:sz w:val="20"/>
          <w:szCs w:val="20"/>
          <w:lang w:eastAsia="cs-CZ"/>
        </w:rPr>
        <w:t>1.</w:t>
      </w:r>
      <w:r w:rsidR="00E82296">
        <w:rPr>
          <w:rFonts w:ascii="Segoe UI" w:hAnsi="Segoe UI" w:cs="Segoe UI"/>
          <w:color w:val="000000"/>
          <w:sz w:val="20"/>
          <w:szCs w:val="20"/>
          <w:lang w:eastAsia="cs-CZ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eastAsia="cs-CZ"/>
        </w:rPr>
        <w:t xml:space="preserve">2022. Nezapomínáme ani na podnikatele investory, kteří se mohou do investování do udržitelných fondů pustit taktéž zdarma bez vstupního poplatku. Nabídky lze vzájemně kombinovat. </w:t>
      </w:r>
    </w:p>
    <w:p w:rsidR="00B7430F" w:rsidP="00B7430F" w:rsidRDefault="00B7430F" w14:paraId="4EA6596A" w14:textId="5C53B610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0"/>
          <w:szCs w:val="20"/>
          <w:lang w:eastAsia="cs-CZ"/>
        </w:rPr>
      </w:pPr>
      <w:r>
        <w:rPr>
          <w:rFonts w:ascii="Segoe UI" w:hAnsi="Segoe UI" w:cs="Segoe UI"/>
          <w:color w:val="000000"/>
          <w:sz w:val="20"/>
          <w:szCs w:val="20"/>
          <w:lang w:eastAsia="cs-CZ"/>
        </w:rPr>
        <w:t xml:space="preserve">Současně s dosažením miliontého klienta Mobilní banky byla spuštěna také mediální kampaň. Ta je zaměřena především na podporu prodeje našich produktů a služeb a současně na zvýšení image </w:t>
      </w:r>
      <w:r w:rsidR="00C651B5">
        <w:rPr>
          <w:rFonts w:ascii="Segoe UI" w:hAnsi="Segoe UI" w:cs="Segoe UI"/>
          <w:color w:val="000000"/>
          <w:sz w:val="20"/>
          <w:szCs w:val="20"/>
          <w:lang w:eastAsia="cs-CZ"/>
        </w:rPr>
        <w:t>KB</w:t>
      </w:r>
      <w:r>
        <w:rPr>
          <w:rFonts w:ascii="Segoe UI" w:hAnsi="Segoe UI" w:cs="Segoe UI"/>
          <w:color w:val="000000"/>
          <w:sz w:val="20"/>
          <w:szCs w:val="20"/>
          <w:lang w:eastAsia="cs-CZ"/>
        </w:rPr>
        <w:t>. </w:t>
      </w:r>
    </w:p>
    <w:p w:rsidR="00B7430F" w:rsidP="00B7430F" w:rsidRDefault="00B7430F" w14:paraId="5EC11E88" w14:textId="77777777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z w:val="20"/>
          <w:szCs w:val="20"/>
          <w:lang w:eastAsia="cs-CZ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eastAsia="cs-CZ"/>
        </w:rPr>
        <w:t xml:space="preserve">Speciální akce jako poděkování za miliontého uživatele Mobilní banky trvá do 22. 10. 2021.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1"/>
      </w:tblGrid>
      <w:tr w:rsidR="00B7430F" w:rsidTr="00E214F4" w14:paraId="5847251F" w14:textId="77777777">
        <w:trPr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30F" w:rsidP="00E214F4" w:rsidRDefault="00B7430F" w14:paraId="31BD3E3E" w14:textId="77777777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cs-CZ"/>
              </w:rPr>
              <w:t>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Zvýhodněná nabídka pro občany:</w:t>
            </w:r>
          </w:p>
          <w:p w:rsidR="00B7430F" w:rsidP="00B7430F" w:rsidRDefault="00B7430F" w14:paraId="4409AD82" w14:textId="3958E7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>Vlastní design Mojekarta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 xml:space="preserve"> bez poplatku</w:t>
            </w:r>
            <w:r w:rsidR="00E82296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;</w:t>
            </w:r>
          </w:p>
          <w:p w:rsidR="00B7430F" w:rsidP="00B7430F" w:rsidRDefault="00B7430F" w14:paraId="42523E07" w14:textId="22C09B7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>Spotřebitelský úvěr a Optimální půjčka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 xml:space="preserve"> bez poplatku za vyhodnocení žádosti o úvěr</w:t>
            </w:r>
            <w:r w:rsidR="00E82296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;</w:t>
            </w:r>
          </w:p>
          <w:p w:rsidR="00B7430F" w:rsidP="00B7430F" w:rsidRDefault="00B7430F" w14:paraId="6822584D" w14:textId="52197D8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>Investování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07F22"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do udržitelných fondů 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bez vstupního poplatku</w:t>
            </w:r>
            <w:r w:rsidR="00E82296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;</w:t>
            </w:r>
          </w:p>
          <w:p w:rsidR="00B7430F" w:rsidP="00B7430F" w:rsidRDefault="00B7430F" w14:paraId="08A25FF0" w14:textId="36F14E3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MojeJistota </w:t>
            </w:r>
            <w:r w:rsidRPr="00407F22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dvojnásobné plnění při závažném onemocnění</w:t>
            </w:r>
            <w:r w:rsidR="00E82296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</w:tbl>
    <w:p w:rsidRPr="00A539E5" w:rsidR="00B7430F" w:rsidP="00B7430F" w:rsidRDefault="00B7430F" w14:paraId="3C67F32C" w14:textId="77777777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z w:val="20"/>
          <w:szCs w:val="20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1"/>
      </w:tblGrid>
      <w:tr w:rsidR="00B7430F" w:rsidTr="00E214F4" w14:paraId="377C0186" w14:textId="77777777">
        <w:trPr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30F" w:rsidP="00E214F4" w:rsidRDefault="00B7430F" w14:paraId="7AE8C1D0" w14:textId="77777777">
            <w:pPr>
              <w:rPr>
                <w:rFonts w:ascii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Zvýhodněná nabídka pro podnikatele:</w:t>
            </w:r>
          </w:p>
          <w:p w:rsidR="00B7430F" w:rsidP="00B7430F" w:rsidRDefault="00B7430F" w14:paraId="4E6038CE" w14:textId="6252EB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>Vlastní design Mojekarta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 xml:space="preserve"> bez poplatku</w:t>
            </w:r>
            <w:r w:rsidR="00E82296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;</w:t>
            </w:r>
          </w:p>
          <w:p w:rsidR="00B7430F" w:rsidP="00B7430F" w:rsidRDefault="00B7430F" w14:paraId="5C701492" w14:textId="130C55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>Profi úvěr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 xml:space="preserve"> bez poplatku za realizaci – podání žádostiv době trvání akce a podpis smlouvy nejpozději do 31.</w:t>
            </w:r>
            <w:r w:rsidR="00C651B5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1.</w:t>
            </w:r>
            <w:r w:rsidR="00C651B5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2022</w:t>
            </w:r>
            <w:r w:rsidR="00E82296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;</w:t>
            </w:r>
          </w:p>
          <w:p w:rsidR="00B7430F" w:rsidP="00B7430F" w:rsidRDefault="00B7430F" w14:paraId="52D207CB" w14:textId="3AEC00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>Investování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33773"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do udržitelných fondů 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bez vstupního poplatku</w:t>
            </w:r>
            <w:r w:rsidR="00E82296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;</w:t>
            </w:r>
          </w:p>
          <w:p w:rsidR="00B7430F" w:rsidP="00B7430F" w:rsidRDefault="00B7430F" w14:paraId="5E81E005" w14:textId="72ECFD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</w:pPr>
            <w:r w:rsidRPr="00407F22"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Roger Platba, </w:t>
            </w:r>
            <w:r w:rsidRPr="00407F22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zkrácení splatnosti faktur zcela zdarma, bez účtovaného průměrného poplatku 1,57</w:t>
            </w:r>
            <w:r w:rsidR="00E82296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 </w:t>
            </w:r>
            <w:r w:rsidRPr="00407F22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% z</w:t>
            </w:r>
            <w:r w:rsidR="00E82296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 </w:t>
            </w:r>
            <w:r w:rsidRPr="00407F22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faktury</w:t>
            </w:r>
            <w:r w:rsidR="00E82296"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Pr="00650A90" w:rsidR="00C40B62" w:rsidP="00E25EA9" w:rsidRDefault="00C40B62" w14:paraId="56A3CC9C" w14:textId="2B534620">
      <w:pPr>
        <w:spacing w:after="0" w:line="260" w:lineRule="exact"/>
        <w:jc w:val="both"/>
        <w:rPr>
          <w:rFonts w:cstheme="minorHAnsi"/>
          <w:b/>
          <w:bCs/>
        </w:rPr>
      </w:pPr>
    </w:p>
    <w:p w:rsidR="00A97088" w:rsidP="005934B6" w:rsidRDefault="00A97088" w14:paraId="68EED742" w14:textId="77777777">
      <w:pPr>
        <w:spacing w:before="200" w:after="0" w:line="260" w:lineRule="exact"/>
        <w:rPr>
          <w:rFonts w:cstheme="minorHAnsi"/>
        </w:rPr>
      </w:pPr>
    </w:p>
    <w:p w:rsidR="00D51F18" w:rsidP="00D51F18" w:rsidRDefault="00D51F18" w14:paraId="09F9F0DC" w14:textId="77777777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:rsidR="00D51F18" w:rsidP="00D51F18" w:rsidRDefault="00D51F18" w14:paraId="5499E330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:rsidR="00D51F18" w:rsidP="00D51F18" w:rsidRDefault="00D51F18" w14:paraId="2EAD9C47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:rsidRPr="00A05029" w:rsidR="00D51F18" w:rsidP="00D51F18" w:rsidRDefault="00F901F4" w14:paraId="55512296" w14:textId="77777777">
      <w:pPr>
        <w:spacing w:after="0" w:line="240" w:lineRule="auto"/>
        <w:rPr>
          <w:rFonts w:cstheme="minorHAnsi"/>
          <w:color w:val="FF0000"/>
          <w:u w:val="single"/>
        </w:rPr>
      </w:pPr>
      <w:hyperlink w:history="1" r:id="rId7">
        <w:r w:rsidR="00D51F18">
          <w:rPr>
            <w:rStyle w:val="Hypertextovodkaz"/>
            <w:rFonts w:cstheme="minorHAnsi"/>
          </w:rPr>
          <w:t>pavel_zubek@kb.cz</w:t>
        </w:r>
      </w:hyperlink>
    </w:p>
    <w:sectPr w:rsidRPr="00A05029" w:rsidR="00D51F18" w:rsidSect="005F4AE0">
      <w:headerReference w:type="default" r:id="rId8"/>
      <w:footerReference w:type="default" r:id="rId9"/>
      <w:pgSz w:w="11906" w:h="16838" w:orient="portrait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718" w:rsidP="00A84CE4" w:rsidRDefault="00D85718" w14:paraId="705CB140" w14:textId="77777777">
      <w:pPr>
        <w:spacing w:after="0" w:line="240" w:lineRule="auto"/>
      </w:pPr>
      <w:r>
        <w:separator/>
      </w:r>
    </w:p>
  </w:endnote>
  <w:endnote w:type="continuationSeparator" w:id="0">
    <w:p w:rsidR="00D85718" w:rsidP="00A84CE4" w:rsidRDefault="00D85718" w14:paraId="03E05F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Pr="00C316F8" w:rsidR="00A84CE4" w:rsidP="00766C5E" w:rsidRDefault="005F4AE0" w14:paraId="1A68DB60" w14:textId="77777777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E3F5C" w:rsidR="00AE3F5C" w:rsidP="00AE3F5C" w:rsidRDefault="00AE3F5C" w14:paraId="03297B4C" w14:textId="77777777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210DFB">
              <v:stroke joinstyle="miter"/>
              <v:path gradientshapeok="t" o:connecttype="rect"/>
            </v:shapetype>
            <v:shape id="Textové pole 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>
              <v:textbox inset="0,0,0,0">
                <w:txbxContent>
                  <w:p w:rsidRPr="00AE3F5C" w:rsidR="00AE3F5C" w:rsidP="00AE3F5C" w:rsidRDefault="00AE3F5C" w14:paraId="03297B4C" w14:textId="77777777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" style="position:absolute;margin-left:379.5pt;margin-top:-3.7pt;width:90.55pt;height:20.15pt;z-index:251660288;mso-width-relative:margin;mso-height-relative:margin" coordsize="44494,9906" o:spid="_x0000_s1026" w14:anchorId="42ABA7A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cký objekt 17" style="position:absolute;width:9906;height:9906;visibility:visible;mso-wrap-style:square" href="https://www.linkedin.com/company/komercni-banka/?originalSubdomain=cz" o:spid="_x0000_s1027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>
                <v:fill o:detectmouseclick="t"/>
                <v:imagedata o:title="" r:id="rId13"/>
              </v:shape>
              <v:shape id="Grafický objekt 18" style="position:absolute;left:11529;width:9906;height:9906;visibility:visible;mso-wrap-style:square" href="https://twitter.com/komercka" o:spid="_x0000_s1028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>
                <v:fill o:detectmouseclick="t"/>
                <v:imagedata o:title="" r:id="rId14"/>
              </v:shape>
              <v:shape id="Grafický objekt 19" style="position:absolute;left:23058;width:9906;height:9906;visibility:visible;mso-wrap-style:square" href="https://www.facebook.com/komercni.banka" o:spid="_x0000_s1029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>
                <v:fill o:detectmouseclick="t"/>
                <v:imagedata o:title="" r:id="rId15"/>
              </v:shape>
              <v:shape id="Grafický objekt 20" style="position:absolute;left:34588;width:9906;height:9906;visibility:visible;mso-wrap-style:square" href="https://www.instagram.com/komercka/?hl=cs" o:spid="_x0000_s1030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>
                <v:fill o:detectmouseclick="t"/>
                <v:imagedata o:title="" r:id="rId16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718" w:rsidP="00A84CE4" w:rsidRDefault="00D85718" w14:paraId="71F06330" w14:textId="77777777">
      <w:pPr>
        <w:spacing w:after="0" w:line="240" w:lineRule="auto"/>
      </w:pPr>
      <w:r>
        <w:separator/>
      </w:r>
    </w:p>
  </w:footnote>
  <w:footnote w:type="continuationSeparator" w:id="0">
    <w:p w:rsidR="00D85718" w:rsidP="00A84CE4" w:rsidRDefault="00D85718" w14:paraId="38BBF9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="00E83835" w:rsidRDefault="00766C5E" w14:paraId="09A199D4" w14:textId="7777777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B79"/>
    <w:multiLevelType w:val="multilevel"/>
    <w:tmpl w:val="A09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EF843AF"/>
    <w:multiLevelType w:val="hybridMultilevel"/>
    <w:tmpl w:val="B478D4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AC6"/>
    <w:multiLevelType w:val="hybridMultilevel"/>
    <w:tmpl w:val="5A305D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951CDE"/>
    <w:multiLevelType w:val="hybridMultilevel"/>
    <w:tmpl w:val="E514D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10CF"/>
    <w:multiLevelType w:val="multilevel"/>
    <w:tmpl w:val="1C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DD04792"/>
    <w:multiLevelType w:val="hybridMultilevel"/>
    <w:tmpl w:val="D2967C52"/>
    <w:lvl w:ilvl="0" w:tplc="AF3C0F14">
      <w:start w:val="1"/>
      <w:numFmt w:val="bullet"/>
      <w:pStyle w:val="Odstavecseseznamem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129E5"/>
    <w:rsid w:val="00060235"/>
    <w:rsid w:val="00065AE8"/>
    <w:rsid w:val="000751B5"/>
    <w:rsid w:val="000C13CD"/>
    <w:rsid w:val="000C2CCC"/>
    <w:rsid w:val="00132547"/>
    <w:rsid w:val="00156843"/>
    <w:rsid w:val="00164D0D"/>
    <w:rsid w:val="001C4B13"/>
    <w:rsid w:val="0021022B"/>
    <w:rsid w:val="00221AF6"/>
    <w:rsid w:val="00254B91"/>
    <w:rsid w:val="00260C4C"/>
    <w:rsid w:val="00283C19"/>
    <w:rsid w:val="002C21BA"/>
    <w:rsid w:val="002D3EBA"/>
    <w:rsid w:val="00331DF2"/>
    <w:rsid w:val="00391F93"/>
    <w:rsid w:val="003B5FDD"/>
    <w:rsid w:val="0042089F"/>
    <w:rsid w:val="00422452"/>
    <w:rsid w:val="00431F49"/>
    <w:rsid w:val="00452AE8"/>
    <w:rsid w:val="00464800"/>
    <w:rsid w:val="004870D3"/>
    <w:rsid w:val="004D466B"/>
    <w:rsid w:val="004E520C"/>
    <w:rsid w:val="00506E77"/>
    <w:rsid w:val="00565CF2"/>
    <w:rsid w:val="005907D6"/>
    <w:rsid w:val="005934B6"/>
    <w:rsid w:val="005A246C"/>
    <w:rsid w:val="005E20A3"/>
    <w:rsid w:val="005E5611"/>
    <w:rsid w:val="005F4AE0"/>
    <w:rsid w:val="006341C4"/>
    <w:rsid w:val="00653C09"/>
    <w:rsid w:val="006655B3"/>
    <w:rsid w:val="00671686"/>
    <w:rsid w:val="006816B1"/>
    <w:rsid w:val="006850CF"/>
    <w:rsid w:val="006B0A0E"/>
    <w:rsid w:val="006F5878"/>
    <w:rsid w:val="00713836"/>
    <w:rsid w:val="00714232"/>
    <w:rsid w:val="007166AA"/>
    <w:rsid w:val="00745119"/>
    <w:rsid w:val="00766C5E"/>
    <w:rsid w:val="007B414C"/>
    <w:rsid w:val="007B5864"/>
    <w:rsid w:val="007B6ACF"/>
    <w:rsid w:val="007C462D"/>
    <w:rsid w:val="007D5625"/>
    <w:rsid w:val="007E6C2F"/>
    <w:rsid w:val="007F495C"/>
    <w:rsid w:val="008331A3"/>
    <w:rsid w:val="00857E1C"/>
    <w:rsid w:val="008919D9"/>
    <w:rsid w:val="00895A4F"/>
    <w:rsid w:val="008C0CB9"/>
    <w:rsid w:val="009022AE"/>
    <w:rsid w:val="0092476E"/>
    <w:rsid w:val="00934122"/>
    <w:rsid w:val="00975E7E"/>
    <w:rsid w:val="00A84CE4"/>
    <w:rsid w:val="00A97088"/>
    <w:rsid w:val="00AD31E8"/>
    <w:rsid w:val="00AE3F5C"/>
    <w:rsid w:val="00AF2335"/>
    <w:rsid w:val="00B2297C"/>
    <w:rsid w:val="00B528C1"/>
    <w:rsid w:val="00B7430F"/>
    <w:rsid w:val="00B90DDE"/>
    <w:rsid w:val="00B915F9"/>
    <w:rsid w:val="00C21DF8"/>
    <w:rsid w:val="00C316F8"/>
    <w:rsid w:val="00C37382"/>
    <w:rsid w:val="00C40B62"/>
    <w:rsid w:val="00C418D6"/>
    <w:rsid w:val="00C51ED1"/>
    <w:rsid w:val="00C651B5"/>
    <w:rsid w:val="00CC5C61"/>
    <w:rsid w:val="00CD2080"/>
    <w:rsid w:val="00CD2BFA"/>
    <w:rsid w:val="00CE07D5"/>
    <w:rsid w:val="00CE6210"/>
    <w:rsid w:val="00D24313"/>
    <w:rsid w:val="00D43534"/>
    <w:rsid w:val="00D51F18"/>
    <w:rsid w:val="00D73049"/>
    <w:rsid w:val="00D763CE"/>
    <w:rsid w:val="00D85718"/>
    <w:rsid w:val="00D87BA9"/>
    <w:rsid w:val="00D92028"/>
    <w:rsid w:val="00D97FDD"/>
    <w:rsid w:val="00DA4C1B"/>
    <w:rsid w:val="00DB25C9"/>
    <w:rsid w:val="00E20542"/>
    <w:rsid w:val="00E215BB"/>
    <w:rsid w:val="00E25EA9"/>
    <w:rsid w:val="00E273DF"/>
    <w:rsid w:val="00E33A39"/>
    <w:rsid w:val="00E426E1"/>
    <w:rsid w:val="00E761AD"/>
    <w:rsid w:val="00E7672E"/>
    <w:rsid w:val="00E82296"/>
    <w:rsid w:val="00E83835"/>
    <w:rsid w:val="00EA00B0"/>
    <w:rsid w:val="00EA3C7F"/>
    <w:rsid w:val="00ED0295"/>
    <w:rsid w:val="00F14CFE"/>
    <w:rsid w:val="00F4193C"/>
    <w:rsid w:val="00F52694"/>
    <w:rsid w:val="00F6736D"/>
    <w:rsid w:val="00F901F4"/>
    <w:rsid w:val="00FB3FC2"/>
    <w:rsid w:val="00FC0C3D"/>
    <w:rsid w:val="00FC1C59"/>
    <w:rsid w:val="643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odstavec" w:customStyle="1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avcovhostylu" w:customStyle="1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84CE4"/>
  </w:style>
  <w:style w:type="character" w:styleId="Hypervazba" w:customStyle="1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97088"/>
    <w:pPr>
      <w:numPr>
        <w:numId w:val="1"/>
      </w:numPr>
      <w:spacing w:after="60" w:line="240" w:lineRule="auto"/>
      <w:ind w:left="0" w:firstLine="0"/>
      <w:contextualSpacing/>
    </w:pPr>
    <w:rPr>
      <w:rFonts w:ascii="Verdana" w:hAnsi="Verdana"/>
      <w:color w:val="231F20"/>
      <w:sz w:val="20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A97088"/>
    <w:rPr>
      <w:rFonts w:ascii="Verdana" w:hAnsi="Verdana"/>
      <w:color w:val="231F2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2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9E5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012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E5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12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012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pavel_zubek@kb.cz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KB_tiskovazprava_1.03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Tereza Kubíčková</dc:creator>
  <keywords/>
  <dc:description/>
  <lastModifiedBy>Dokumenty Crestcom</lastModifiedBy>
  <revision>4</revision>
  <lastPrinted>2021-10-05T07:40:00.0000000Z</lastPrinted>
  <dcterms:created xsi:type="dcterms:W3CDTF">2021-10-08T13:28:00.0000000Z</dcterms:created>
  <dcterms:modified xsi:type="dcterms:W3CDTF">2021-10-11T07:48:59.9903512Z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2021-10-11T07:26:32Z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18c1f0d3-b00e-4206-a058-237283b7e2f1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